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utlineLvl w:val="0"/>
      </w:pPr>
      <w:bookmarkStart w:id="0" w:name="_Toc17627"/>
      <w:r>
        <w:rPr>
          <w:rFonts w:hint="eastAsia" w:ascii="宋体" w:hAnsi="宋体" w:cs="宋体"/>
          <w:b/>
          <w:bCs/>
          <w:sz w:val="32"/>
          <w:szCs w:val="32"/>
        </w:rPr>
        <w:t>（6）报价明细表</w:t>
      </w:r>
      <w:bookmarkEnd w:id="0"/>
      <w:bookmarkStart w:id="2" w:name="_GoBack"/>
      <w:bookmarkEnd w:id="2"/>
    </w:p>
    <w:p>
      <w:pPr>
        <w:jc w:val="center"/>
        <w:rPr>
          <w:rFonts w:ascii="宋体" w:hAnsi="宋体" w:cs="宋体"/>
          <w:spacing w:val="14"/>
          <w:sz w:val="28"/>
          <w:szCs w:val="28"/>
        </w:rPr>
      </w:pPr>
      <w:r>
        <w:rPr>
          <w:rFonts w:hint="eastAsia" w:ascii="宋体" w:hAnsi="宋体" w:cs="宋体"/>
          <w:spacing w:val="14"/>
          <w:sz w:val="28"/>
          <w:szCs w:val="28"/>
        </w:rPr>
        <w:t>报价明细表</w:t>
      </w:r>
    </w:p>
    <w:p>
      <w:pPr>
        <w:jc w:val="center"/>
        <w:rPr>
          <w:rFonts w:ascii="宋体" w:hAnsi="宋体" w:cs="宋体"/>
          <w:spacing w:val="14"/>
          <w:sz w:val="24"/>
          <w:szCs w:val="24"/>
        </w:rPr>
      </w:pPr>
    </w:p>
    <w:tbl>
      <w:tblPr>
        <w:tblStyle w:val="6"/>
        <w:tblW w:w="111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3"/>
        <w:gridCol w:w="598"/>
        <w:gridCol w:w="377"/>
        <w:gridCol w:w="4803"/>
        <w:gridCol w:w="758"/>
        <w:gridCol w:w="968"/>
        <w:gridCol w:w="1257"/>
        <w:gridCol w:w="975"/>
        <w:gridCol w:w="10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011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序号</w:t>
            </w:r>
          </w:p>
        </w:tc>
        <w:tc>
          <w:tcPr>
            <w:tcW w:w="5180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服务内容</w:t>
            </w:r>
          </w:p>
        </w:tc>
        <w:tc>
          <w:tcPr>
            <w:tcW w:w="758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数量</w:t>
            </w:r>
          </w:p>
        </w:tc>
        <w:tc>
          <w:tcPr>
            <w:tcW w:w="968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品牌</w:t>
            </w:r>
          </w:p>
        </w:tc>
        <w:tc>
          <w:tcPr>
            <w:tcW w:w="125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型号</w:t>
            </w: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单价</w:t>
            </w:r>
          </w:p>
        </w:tc>
        <w:tc>
          <w:tcPr>
            <w:tcW w:w="1009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总价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011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1、攀石</w:t>
            </w:r>
          </w:p>
        </w:tc>
        <w:tc>
          <w:tcPr>
            <w:tcW w:w="5180" w:type="dxa"/>
            <w:gridSpan w:val="2"/>
            <w:vAlign w:val="center"/>
          </w:tcPr>
          <w:p>
            <w:pPr>
              <w:jc w:val="left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规格：宽9m*高4.5m</w:t>
            </w:r>
          </w:p>
          <w:p>
            <w:pPr>
              <w:jc w:val="left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玻璃钢岩板：</w:t>
            </w:r>
          </w:p>
          <w:p>
            <w:pPr>
              <w:jc w:val="left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▲1.规格：1220*2440*18mm，户外耐候纯平玻璃钢攀岩板，攀岩板通过ASTMC1185-08(2016)第9节标准检测且检测120小时吸水率≤8.3%，提供相关证明材料。</w:t>
            </w:r>
          </w:p>
          <w:p>
            <w:pPr>
              <w:jc w:val="left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▲2.材质：有机树脂玻璃钢复合板，抗攀抓力强，使用时限长，耐候性强，室内和室外均适。攀岩板硬度，符合GB/T3854-2017标准检测且巴柯尔硬度检测≥55，提供第三方检测中心出具的具有CMA、CNAS标志的检测报告，提供相关证明材料。</w:t>
            </w:r>
          </w:p>
          <w:p>
            <w:pPr>
              <w:jc w:val="left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3.砂面：一体压制成型，非人工喷砂，面层高耐磨丙稀着色层</w:t>
            </w:r>
          </w:p>
          <w:p>
            <w:pPr>
              <w:jc w:val="left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4.岩孔：利用率达到100%，无费孔、半孔、被堵孔</w:t>
            </w:r>
          </w:p>
          <w:p>
            <w:pPr>
              <w:jc w:val="left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5.工艺：岩板边缝采用雕刻工艺精准制作，完美直缝自然对接</w:t>
            </w:r>
          </w:p>
          <w:p>
            <w:pPr>
              <w:jc w:val="left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▲6.为实现岩壁多角度造型，按标准模块化设计，现场组装拼接，攀岩板现场无切割。攀岩板符合GB 6566-2010放射性核素检测，提供第三方检测中心出具的具有CMA、CNAS标志的检测报告，提供相关证明材料。</w:t>
            </w:r>
          </w:p>
          <w:p>
            <w:pPr>
              <w:jc w:val="left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铝塑地垫挡板：</w:t>
            </w:r>
          </w:p>
          <w:p>
            <w:pPr>
              <w:jc w:val="left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1.规格1220*2440*4mm，双层铝塑板，厚度4mm，</w:t>
            </w:r>
          </w:p>
          <w:p>
            <w:pPr>
              <w:jc w:val="left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2.无砂面，基本色为浅灰色，含背钢骨架。</w:t>
            </w:r>
          </w:p>
          <w:p>
            <w:pPr>
              <w:jc w:val="left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铝塑岩壁左侧封板：</w:t>
            </w:r>
          </w:p>
          <w:p>
            <w:pPr>
              <w:jc w:val="left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1.规格1220*2440*4mm，双层铝塑板，厚度4mm，</w:t>
            </w:r>
          </w:p>
          <w:p>
            <w:pPr>
              <w:jc w:val="left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2.无砂面，基本色为浅灰色，含背钢骨架；</w:t>
            </w:r>
          </w:p>
          <w:p>
            <w:pPr>
              <w:jc w:val="left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铝塑岩壁右侧封板：</w:t>
            </w:r>
          </w:p>
          <w:p>
            <w:pPr>
              <w:jc w:val="left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1.规格1220*2440*4mm，双层铝塑板，厚度4mm，</w:t>
            </w:r>
          </w:p>
          <w:p>
            <w:pPr>
              <w:jc w:val="left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2.无砂面，基本色为浅灰色，含背钢骨架。</w:t>
            </w:r>
          </w:p>
          <w:p>
            <w:pPr>
              <w:jc w:val="left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表面处理-色块拼：</w:t>
            </w:r>
          </w:p>
          <w:p>
            <w:pPr>
              <w:jc w:val="left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1.岩壁表面打磨抛光，手工喷涂，专用环保材料；</w:t>
            </w:r>
          </w:p>
          <w:p>
            <w:pPr>
              <w:jc w:val="left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难度道背钉：</w:t>
            </w:r>
          </w:p>
          <w:p>
            <w:pPr>
              <w:jc w:val="left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1.背钉M10，镀锌，自攻丝加强固定；</w:t>
            </w:r>
          </w:p>
          <w:p>
            <w:pPr>
              <w:jc w:val="left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2.适用攀石赛道及难度道1.22*2.44板，孔距200mm；</w:t>
            </w:r>
          </w:p>
          <w:p>
            <w:pPr>
              <w:jc w:val="left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难度/攀石硬钢连接系统：</w:t>
            </w:r>
          </w:p>
          <w:p>
            <w:pPr>
              <w:jc w:val="left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1.岩板加背钢镀锌方管40mm，与岩壁钢架硬钢焊接方式连接，岩板采用自攻丝固定；</w:t>
            </w:r>
          </w:p>
          <w:p>
            <w:pPr>
              <w:jc w:val="left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难度/攀石一体化岩壁钢架：</w:t>
            </w:r>
          </w:p>
          <w:p>
            <w:pPr>
              <w:jc w:val="left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1.钢架热镀锌材料，</w:t>
            </w:r>
          </w:p>
          <w:p>
            <w:pPr>
              <w:jc w:val="left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2.镀锌方管80*80*T4mm、镀锌方管60*80*T3.0mm、镀锌方管 60*60*T3.0mm、角钢40*40*4mm、镀锌圆管φ76*T3.0mm，</w:t>
            </w:r>
          </w:p>
          <w:p>
            <w:pPr>
              <w:jc w:val="left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3.工厂下料，发货到现场，现场下料焊接，现场补漆；</w:t>
            </w:r>
          </w:p>
          <w:p>
            <w:pPr>
              <w:jc w:val="left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Qh-6 一体化主钢架(无顶)：</w:t>
            </w:r>
          </w:p>
          <w:p>
            <w:pPr>
              <w:jc w:val="left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▲1.主材料：镀锌方管 80*80*T3.0mm，攀岩钢架抗拉强度须通过GB/T228.1-2010《金属材料拉伸试验第1部分：室温试验方法》标准检测和焊接接头弯曲通过GB/T2653-2008《焊接接头弯曲试验方法》标准的有效检测，提供第三方检测中心出具的具有CMA、CNAS标志的检测报告，提供相关证明材料。</w:t>
            </w:r>
          </w:p>
          <w:p>
            <w:pPr>
              <w:jc w:val="left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镀锌方管 60*60*T3.0mm，镀锌方管40*40*T2.2mm，连接钢板厚10mm；</w:t>
            </w:r>
          </w:p>
          <w:p>
            <w:pPr>
              <w:jc w:val="left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2.支撑钢架采用三角结构，增加稳定性；</w:t>
            </w:r>
          </w:p>
          <w:p>
            <w:pPr>
              <w:jc w:val="left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3.工艺特点：主体焊接结构；</w:t>
            </w:r>
          </w:p>
          <w:p>
            <w:pPr>
              <w:jc w:val="left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4.表面环氧富锌底漆，银粉面漆喷涂；</w:t>
            </w:r>
          </w:p>
          <w:p>
            <w:pPr>
              <w:jc w:val="left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5.规格：立柱纵长1.0米，横宽1.5米，岩壁限高3-6米；配套：无顶棚；</w:t>
            </w:r>
          </w:p>
          <w:p>
            <w:pPr>
              <w:jc w:val="left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常规岩点：</w:t>
            </w:r>
          </w:p>
          <w:p>
            <w:pPr>
              <w:jc w:val="left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▲1.该产品为聚酯树脂加有机填充料浇注成型，具有强度高，耐候性强、使用寿命长等特点；因学生使用频率较高，为保证学员安全，岩点拉伸强度需符合GB/T 1040.1-2018&amp;GB/T 1040.2-2006标准检测，提供第三方检测中心出具的具有CMA、CNAS标志的检测报告，提供相关证明材料。</w:t>
            </w:r>
          </w:p>
          <w:p>
            <w:pPr>
              <w:jc w:val="left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2.造型多种，大中小随机配置；</w:t>
            </w:r>
          </w:p>
          <w:p>
            <w:pPr>
              <w:jc w:val="left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3.颜色多种，随机配置；</w:t>
            </w:r>
          </w:p>
          <w:p>
            <w:pPr>
              <w:jc w:val="left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巨型岩点：</w:t>
            </w:r>
          </w:p>
          <w:p>
            <w:pPr>
              <w:jc w:val="left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1.该产品为聚酯树脂加有机填充料浇注成型，具有前度高，耐候性强、使用寿命长等特点；竞技性攀岩大型支点，造型美观多变化大，颜色搭配靓丽，岩壁线路及造型，提高攀爬技能和观赏性；</w:t>
            </w:r>
          </w:p>
          <w:p>
            <w:pPr>
              <w:jc w:val="left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2.造型多种，随机配置；</w:t>
            </w:r>
          </w:p>
          <w:p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3.颜色多种，随机配置。</w:t>
            </w:r>
          </w:p>
        </w:tc>
        <w:tc>
          <w:tcPr>
            <w:tcW w:w="758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1套</w:t>
            </w:r>
          </w:p>
        </w:tc>
        <w:tc>
          <w:tcPr>
            <w:tcW w:w="968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拓展者</w:t>
            </w:r>
          </w:p>
        </w:tc>
        <w:tc>
          <w:tcPr>
            <w:tcW w:w="125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>TZZ-PY01</w:t>
            </w: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279005</w:t>
            </w:r>
          </w:p>
        </w:tc>
        <w:tc>
          <w:tcPr>
            <w:tcW w:w="1009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279005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011" w:type="dxa"/>
            <w:gridSpan w:val="2"/>
            <w:vAlign w:val="center"/>
          </w:tcPr>
          <w:p>
            <w:pPr>
              <w:jc w:val="left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2、</w:t>
            </w:r>
            <w:r>
              <w:rPr>
                <w:rFonts w:hint="eastAsia" w:ascii="宋体" w:hAnsi="宋体" w:cs="宋体"/>
                <w:sz w:val="21"/>
                <w:szCs w:val="21"/>
              </w:rPr>
              <w:t>青少年智慧闯关</w:t>
            </w:r>
          </w:p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5180" w:type="dxa"/>
            <w:gridSpan w:val="2"/>
            <w:vAlign w:val="center"/>
          </w:tcPr>
          <w:p>
            <w:pPr>
              <w:jc w:val="left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1.项目占地面积总长28m，宽1.5m，器材总高4m；</w:t>
            </w:r>
          </w:p>
          <w:p>
            <w:pPr>
              <w:jc w:val="left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2.项目依次由醉卧轮胎桥、晃动横梯、云梯漫步、硫酸池、泸定桥、洞桥等6个单元项目组成。</w:t>
            </w:r>
          </w:p>
          <w:p>
            <w:pPr>
              <w:jc w:val="left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3.材料：钢构主材为Q235材质，立柱100mm方管，平台3mm厚花纹板，底部辅以钢架，护栏由直径20mm、直径33mm圆管组成。</w:t>
            </w:r>
          </w:p>
          <w:p>
            <w:pPr>
              <w:jc w:val="left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此项目有6个单项障碍组合而成：</w:t>
            </w:r>
          </w:p>
          <w:p>
            <w:pPr>
              <w:jc w:val="left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1.醉卧轮胎桥</w:t>
            </w:r>
          </w:p>
          <w:p>
            <w:pPr>
              <w:jc w:val="left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长*宽*高为3.5*1.5*0.6m，标准汽车轮胎铺设双道，中间辅以防腐木板，直径12mm镀锌钢丝绳及直径8mm镀锌钢链连接。</w:t>
            </w:r>
          </w:p>
          <w:p>
            <w:pPr>
              <w:jc w:val="left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2.晃动横梯</w:t>
            </w:r>
          </w:p>
          <w:p>
            <w:pPr>
              <w:jc w:val="left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长*宽*高为3.5*1.5*2.7m，主材为直径89mm圆管。</w:t>
            </w:r>
          </w:p>
          <w:p>
            <w:pPr>
              <w:jc w:val="left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3.云梯漫步</w:t>
            </w:r>
          </w:p>
          <w:p>
            <w:pPr>
              <w:jc w:val="left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长*宽*高为3.5*1.5*2.7m，两侧为直径12mm有结尼龙绳攀爬网，中间为钢丝绳串连的防腐木条，整体呈U型，中间部分外加直径10mm尼龙绳保护网。</w:t>
            </w:r>
          </w:p>
          <w:p>
            <w:pPr>
              <w:jc w:val="left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4.硫酸池</w:t>
            </w:r>
          </w:p>
          <w:p>
            <w:pPr>
              <w:jc w:val="left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长*宽*高为2.5*1.5*4m；两侧平台侧面装有防撞海绵垫。</w:t>
            </w:r>
          </w:p>
          <w:p>
            <w:pPr>
              <w:jc w:val="left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5.泸定桥</w:t>
            </w:r>
          </w:p>
          <w:p>
            <w:pPr>
              <w:jc w:val="left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长*宽*高为3.5*1.5*0.6m，钢丝绳串连防腐木条，两端连接在平台上。</w:t>
            </w:r>
          </w:p>
          <w:p>
            <w:pPr>
              <w:jc w:val="left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6.洞桥</w:t>
            </w:r>
          </w:p>
          <w:p>
            <w:pPr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长*宽*高为3.5*1.5*2m，桥洞由直径33mm圆管弯制而成。</w:t>
            </w:r>
          </w:p>
        </w:tc>
        <w:tc>
          <w:tcPr>
            <w:tcW w:w="758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1套</w:t>
            </w:r>
          </w:p>
        </w:tc>
        <w:tc>
          <w:tcPr>
            <w:tcW w:w="968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拓展者</w:t>
            </w:r>
          </w:p>
        </w:tc>
        <w:tc>
          <w:tcPr>
            <w:tcW w:w="125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>YL079A</w:t>
            </w: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126680</w:t>
            </w:r>
          </w:p>
        </w:tc>
        <w:tc>
          <w:tcPr>
            <w:tcW w:w="1009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126680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6" w:hRule="atLeast"/>
          <w:jc w:val="center"/>
        </w:trPr>
        <w:tc>
          <w:tcPr>
            <w:tcW w:w="1011" w:type="dxa"/>
            <w:gridSpan w:val="2"/>
            <w:vAlign w:val="center"/>
          </w:tcPr>
          <w:p>
            <w:pPr>
              <w:jc w:val="left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3、</w:t>
            </w:r>
            <w:r>
              <w:rPr>
                <w:rFonts w:hint="eastAsia" w:ascii="宋体" w:hAnsi="宋体" w:cs="宋体"/>
                <w:sz w:val="21"/>
                <w:szCs w:val="21"/>
              </w:rPr>
              <w:t>模拟电网</w:t>
            </w:r>
          </w:p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5180" w:type="dxa"/>
            <w:gridSpan w:val="2"/>
            <w:vAlign w:val="center"/>
          </w:tcPr>
          <w:p>
            <w:pPr>
              <w:jc w:val="left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规格：4000*2000mm</w:t>
            </w:r>
          </w:p>
          <w:p>
            <w:pPr>
              <w:jc w:val="left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1.产品采用全组装方式；</w:t>
            </w:r>
          </w:p>
          <w:p>
            <w:pPr>
              <w:jc w:val="left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▲2.立柱采用直径114*T3.5mm优质钢管,直径114*3.5钢管抗拉强度须通过GB/T228.1-2010标准检测，提供第三方检测机构出具的具有CMA、CNAS标志的检测报告，提供相关证明材料。横梁采用直径89*T3.5mm优质钢管；</w:t>
            </w:r>
          </w:p>
          <w:p>
            <w:pPr>
              <w:jc w:val="left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3.电网采用直径12mm涤纶六股联合钢丝绳编制而成；</w:t>
            </w:r>
          </w:p>
          <w:p>
            <w:pPr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4.立柱与横梁采组装结构</w:t>
            </w:r>
          </w:p>
        </w:tc>
        <w:tc>
          <w:tcPr>
            <w:tcW w:w="758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1套</w:t>
            </w:r>
          </w:p>
        </w:tc>
        <w:tc>
          <w:tcPr>
            <w:tcW w:w="968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拓展者</w:t>
            </w:r>
          </w:p>
        </w:tc>
        <w:tc>
          <w:tcPr>
            <w:tcW w:w="125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>CD3006A</w:t>
            </w: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24205</w:t>
            </w:r>
          </w:p>
        </w:tc>
        <w:tc>
          <w:tcPr>
            <w:tcW w:w="1009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24205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011" w:type="dxa"/>
            <w:gridSpan w:val="2"/>
            <w:vAlign w:val="center"/>
          </w:tcPr>
          <w:p>
            <w:pPr>
              <w:jc w:val="left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4、</w:t>
            </w:r>
            <w:r>
              <w:rPr>
                <w:rFonts w:hint="eastAsia" w:ascii="宋体" w:hAnsi="宋体" w:cs="宋体"/>
                <w:sz w:val="21"/>
                <w:szCs w:val="21"/>
              </w:rPr>
              <w:t>信任背摔</w:t>
            </w:r>
          </w:p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5180" w:type="dxa"/>
            <w:gridSpan w:val="2"/>
            <w:vAlign w:val="center"/>
          </w:tcPr>
          <w:p>
            <w:pPr>
              <w:jc w:val="left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规格：3000*1170*3000mm</w:t>
            </w:r>
          </w:p>
          <w:p>
            <w:pPr>
              <w:jc w:val="left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1.产品采用优质Q235钢材、全组装结构、现场无焊接、无基础。</w:t>
            </w:r>
          </w:p>
          <w:p>
            <w:pPr>
              <w:jc w:val="left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2.表面采用高速喷丸处理，静电喷涂。</w:t>
            </w:r>
          </w:p>
          <w:p>
            <w:pPr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▲3.立柱采用直径114mm圆管，体育用品专用封头；平台为钢木结构：采用50mm槽钢,木板，木材硬度和冲击韧性须通过GB/T1941-2009和GB/T1940-2009标准检测，提供第三方检测中心出具的具有CMA、CNAS标志的检测报告，提供相关证明材料。；护栏采用直径33mm和直径20mm圆管；钢梯采用30mm方管和直径20mm圆管焊接。</w:t>
            </w:r>
          </w:p>
        </w:tc>
        <w:tc>
          <w:tcPr>
            <w:tcW w:w="758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1套</w:t>
            </w:r>
          </w:p>
        </w:tc>
        <w:tc>
          <w:tcPr>
            <w:tcW w:w="968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拓展者</w:t>
            </w:r>
          </w:p>
        </w:tc>
        <w:tc>
          <w:tcPr>
            <w:tcW w:w="125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>CD3004A</w:t>
            </w: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29210</w:t>
            </w:r>
          </w:p>
        </w:tc>
        <w:tc>
          <w:tcPr>
            <w:tcW w:w="1009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29210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1011" w:type="dxa"/>
            <w:gridSpan w:val="2"/>
            <w:vAlign w:val="center"/>
          </w:tcPr>
          <w:p>
            <w:pPr>
              <w:jc w:val="left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5、</w:t>
            </w:r>
            <w:r>
              <w:rPr>
                <w:rFonts w:hint="eastAsia" w:ascii="宋体" w:hAnsi="宋体" w:cs="宋体"/>
                <w:sz w:val="21"/>
                <w:szCs w:val="21"/>
              </w:rPr>
              <w:t>有轨电车</w:t>
            </w:r>
          </w:p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5180" w:type="dxa"/>
            <w:gridSpan w:val="2"/>
            <w:vAlign w:val="center"/>
          </w:tcPr>
          <w:p>
            <w:pPr>
              <w:jc w:val="left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规格：3000*200mm</w:t>
            </w:r>
          </w:p>
          <w:p>
            <w:pPr>
              <w:jc w:val="left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1.木板厚40mm，木板中心线上均匀的排布10个拉手,</w:t>
            </w:r>
          </w:p>
          <w:p>
            <w:pPr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2.拉手用尼龙绳直径10mm制作，长1100mm,每个间距300mm，木板钻孔安装吊钩，绳子穿钩打结固定，一副有轨电车有4块木板构成。</w:t>
            </w:r>
          </w:p>
        </w:tc>
        <w:tc>
          <w:tcPr>
            <w:tcW w:w="758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1套</w:t>
            </w:r>
          </w:p>
        </w:tc>
        <w:tc>
          <w:tcPr>
            <w:tcW w:w="968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拓展者</w:t>
            </w:r>
          </w:p>
        </w:tc>
        <w:tc>
          <w:tcPr>
            <w:tcW w:w="125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>CD013A</w:t>
            </w: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17200</w:t>
            </w:r>
          </w:p>
        </w:tc>
        <w:tc>
          <w:tcPr>
            <w:tcW w:w="1009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17200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011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6、</w:t>
            </w:r>
            <w:r>
              <w:rPr>
                <w:rFonts w:hint="eastAsia" w:ascii="宋体" w:hAnsi="宋体" w:cs="宋体"/>
                <w:sz w:val="21"/>
                <w:szCs w:val="21"/>
              </w:rPr>
              <w:t>营地教育师（中级</w:t>
            </w:r>
          </w:p>
        </w:tc>
        <w:tc>
          <w:tcPr>
            <w:tcW w:w="5180" w:type="dxa"/>
            <w:gridSpan w:val="2"/>
            <w:vAlign w:val="center"/>
          </w:tcPr>
          <w:p>
            <w:pPr>
              <w:jc w:val="left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）</w:t>
            </w:r>
          </w:p>
          <w:p>
            <w:pPr>
              <w:jc w:val="left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1、学习营地教育的起源和发展、营地教育的价值和意义。</w:t>
            </w:r>
          </w:p>
          <w:p>
            <w:pPr>
              <w:jc w:val="left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2、学习营地教育基础理论：素质理论、运用理论、记忆理论。</w:t>
            </w:r>
          </w:p>
          <w:p>
            <w:pPr>
              <w:jc w:val="left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3、学习营地活动的操作原理、操作流程和操作实践。</w:t>
            </w:r>
          </w:p>
          <w:p>
            <w:pPr>
              <w:jc w:val="left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4、学习破冰技术、布课技术、讲解技术、分享技术。</w:t>
            </w:r>
          </w:p>
          <w:p>
            <w:pPr>
              <w:jc w:val="left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5、学习把控技术、评估技术、创设技术、方案技术。</w:t>
            </w:r>
          </w:p>
          <w:p>
            <w:pPr>
              <w:jc w:val="left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6、学习科学发音、军事口令、公众演讲、手语舞蹈。</w:t>
            </w:r>
          </w:p>
          <w:p>
            <w:pPr>
              <w:jc w:val="left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7、学习活动流程、早操流程、晚会流程、会议流程。</w:t>
            </w:r>
          </w:p>
          <w:p>
            <w:pPr>
              <w:jc w:val="left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8、学习极限理论、绳结训练、保养维护、下降保护。</w:t>
            </w:r>
          </w:p>
          <w:p>
            <w:pPr>
              <w:jc w:val="left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9、学习控场能力、组织能力、呈现能力。</w:t>
            </w:r>
          </w:p>
          <w:p>
            <w:pPr>
              <w:jc w:val="left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10、学习安全意识、安全管理、安全设计。</w:t>
            </w:r>
          </w:p>
          <w:p>
            <w:pPr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培训7天6晚，并取得营地教育师中级证书</w:t>
            </w:r>
          </w:p>
        </w:tc>
        <w:tc>
          <w:tcPr>
            <w:tcW w:w="758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3人</w:t>
            </w:r>
          </w:p>
        </w:tc>
        <w:tc>
          <w:tcPr>
            <w:tcW w:w="968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拓展者</w:t>
            </w:r>
          </w:p>
        </w:tc>
        <w:tc>
          <w:tcPr>
            <w:tcW w:w="125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T</w:t>
            </w:r>
            <w:r>
              <w:rPr>
                <w:rFonts w:ascii="宋体" w:hAnsi="宋体" w:cs="宋体"/>
                <w:sz w:val="24"/>
                <w:szCs w:val="24"/>
              </w:rPr>
              <w:t>ZZ-SZ01</w:t>
            </w: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7500</w:t>
            </w:r>
          </w:p>
        </w:tc>
        <w:tc>
          <w:tcPr>
            <w:tcW w:w="1009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22500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011" w:type="dxa"/>
            <w:gridSpan w:val="2"/>
            <w:vAlign w:val="center"/>
          </w:tcPr>
          <w:p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7、</w:t>
            </w:r>
            <w:r>
              <w:rPr>
                <w:rFonts w:hint="eastAsia"/>
              </w:rPr>
              <w:t>土地平整</w:t>
            </w:r>
          </w:p>
        </w:tc>
        <w:tc>
          <w:tcPr>
            <w:tcW w:w="5180" w:type="dxa"/>
            <w:gridSpan w:val="2"/>
            <w:vAlign w:val="center"/>
          </w:tcPr>
          <w:p>
            <w:r>
              <w:rPr>
                <w:rFonts w:hint="eastAsia"/>
              </w:rPr>
              <w:t>包括水泥地平、硬化等，按需定制</w:t>
            </w:r>
          </w:p>
        </w:tc>
        <w:tc>
          <w:tcPr>
            <w:tcW w:w="758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1项</w:t>
            </w:r>
          </w:p>
        </w:tc>
        <w:tc>
          <w:tcPr>
            <w:tcW w:w="96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农博联</w:t>
            </w:r>
          </w:p>
        </w:tc>
        <w:tc>
          <w:tcPr>
            <w:tcW w:w="125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定制</w:t>
            </w: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60000</w:t>
            </w:r>
          </w:p>
        </w:tc>
        <w:tc>
          <w:tcPr>
            <w:tcW w:w="1009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60000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413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975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9770" w:type="dxa"/>
            <w:gridSpan w:val="6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合计：小写：558800.00元、大写：伍拾伍万捌仟捌佰圆整</w:t>
            </w:r>
          </w:p>
        </w:tc>
      </w:tr>
    </w:tbl>
    <w:p>
      <w:pPr>
        <w:pStyle w:val="8"/>
        <w:ind w:firstLine="268" w:firstLineChars="100"/>
        <w:rPr>
          <w:rFonts w:ascii="宋体" w:hAnsi="宋体" w:eastAsia="宋体" w:cs="宋体"/>
          <w:spacing w:val="14"/>
          <w:sz w:val="24"/>
          <w:szCs w:val="24"/>
        </w:rPr>
      </w:pPr>
    </w:p>
    <w:p>
      <w:pPr>
        <w:pStyle w:val="8"/>
        <w:spacing w:line="360" w:lineRule="auto"/>
        <w:ind w:firstLine="268" w:firstLineChars="100"/>
        <w:rPr>
          <w:rFonts w:ascii="宋体" w:hAnsi="宋体" w:eastAsia="宋体" w:cs="宋体"/>
          <w:spacing w:val="14"/>
          <w:sz w:val="24"/>
          <w:szCs w:val="24"/>
        </w:rPr>
      </w:pPr>
      <w:r>
        <w:rPr>
          <w:rFonts w:hint="eastAsia" w:ascii="宋体" w:hAnsi="宋体" w:eastAsia="宋体" w:cs="宋体"/>
          <w:spacing w:val="14"/>
          <w:sz w:val="24"/>
          <w:szCs w:val="24"/>
        </w:rPr>
        <w:t>供应商（盖单位公章）：河南农博联信息技术有限公司</w:t>
      </w:r>
    </w:p>
    <w:p>
      <w:pPr>
        <w:pStyle w:val="8"/>
        <w:spacing w:line="360" w:lineRule="auto"/>
        <w:ind w:firstLine="268" w:firstLineChars="100"/>
        <w:rPr>
          <w:rFonts w:ascii="宋体" w:hAnsi="宋体" w:eastAsia="宋体" w:cs="宋体"/>
          <w:spacing w:val="14"/>
          <w:sz w:val="24"/>
          <w:szCs w:val="24"/>
        </w:rPr>
      </w:pPr>
      <w:r>
        <w:rPr>
          <w:rFonts w:hint="eastAsia" w:ascii="宋体" w:hAnsi="宋体" w:eastAsia="宋体" w:cs="宋体"/>
          <w:spacing w:val="14"/>
          <w:sz w:val="24"/>
          <w:szCs w:val="24"/>
        </w:rPr>
        <w:t>法定代表人或委托代理人（签字或盖章）：</w:t>
      </w:r>
    </w:p>
    <w:p>
      <w:pPr>
        <w:pStyle w:val="8"/>
        <w:spacing w:line="360" w:lineRule="auto"/>
        <w:ind w:firstLine="268" w:firstLineChars="100"/>
        <w:rPr>
          <w:rFonts w:ascii="宋体" w:hAnsi="宋体" w:eastAsia="宋体" w:cs="宋体"/>
          <w:spacing w:val="14"/>
          <w:sz w:val="24"/>
          <w:szCs w:val="24"/>
        </w:rPr>
      </w:pPr>
      <w:r>
        <w:rPr>
          <w:rFonts w:hint="eastAsia" w:ascii="宋体" w:hAnsi="宋体" w:eastAsia="宋体" w:cs="宋体"/>
          <w:spacing w:val="14"/>
          <w:sz w:val="24"/>
          <w:szCs w:val="24"/>
        </w:rPr>
        <w:t>日期：2023年07月25日</w:t>
      </w:r>
    </w:p>
    <w:p>
      <w:pPr>
        <w:pStyle w:val="8"/>
        <w:spacing w:line="360" w:lineRule="auto"/>
        <w:rPr>
          <w:rFonts w:ascii="宋体" w:hAnsi="宋体" w:eastAsia="宋体" w:cs="宋体"/>
          <w:spacing w:val="14"/>
          <w:sz w:val="24"/>
          <w:szCs w:val="24"/>
        </w:rPr>
      </w:pPr>
      <w:r>
        <w:rPr>
          <w:rFonts w:hint="eastAsia" w:ascii="宋体" w:hAnsi="宋体" w:eastAsia="宋体" w:cs="宋体"/>
          <w:spacing w:val="14"/>
          <w:sz w:val="24"/>
          <w:szCs w:val="24"/>
        </w:rPr>
        <w:t xml:space="preserve">                    </w:t>
      </w:r>
    </w:p>
    <w:p>
      <w:pPr>
        <w:pStyle w:val="8"/>
        <w:spacing w:line="360" w:lineRule="auto"/>
        <w:rPr>
          <w:rFonts w:ascii="宋体" w:hAnsi="宋体" w:eastAsia="宋体" w:cs="宋体"/>
          <w:spacing w:val="14"/>
          <w:sz w:val="24"/>
          <w:szCs w:val="24"/>
        </w:rPr>
      </w:pPr>
      <w:r>
        <w:rPr>
          <w:rFonts w:hint="eastAsia" w:ascii="宋体" w:hAnsi="宋体" w:eastAsia="宋体" w:cs="宋体"/>
          <w:spacing w:val="14"/>
          <w:sz w:val="24"/>
          <w:szCs w:val="24"/>
        </w:rPr>
        <w:t>注：</w:t>
      </w:r>
    </w:p>
    <w:p>
      <w:pPr>
        <w:pStyle w:val="8"/>
        <w:spacing w:line="360" w:lineRule="auto"/>
        <w:outlineLvl w:val="1"/>
        <w:rPr>
          <w:rFonts w:ascii="宋体" w:hAnsi="宋体" w:eastAsia="宋体" w:cs="宋体"/>
          <w:spacing w:val="14"/>
          <w:sz w:val="24"/>
          <w:szCs w:val="24"/>
        </w:rPr>
      </w:pPr>
      <w:bookmarkStart w:id="1" w:name="_Toc4376"/>
      <w:r>
        <w:rPr>
          <w:rFonts w:hint="eastAsia" w:ascii="宋体" w:hAnsi="宋体" w:eastAsia="宋体" w:cs="宋体"/>
          <w:spacing w:val="14"/>
          <w:sz w:val="24"/>
          <w:szCs w:val="24"/>
        </w:rPr>
        <w:t>1、供应商可根据需要自行增减表格行数。</w:t>
      </w:r>
      <w:bookmarkEnd w:id="1"/>
    </w:p>
    <w:p>
      <w:pPr>
        <w:pStyle w:val="8"/>
        <w:spacing w:line="360" w:lineRule="auto"/>
        <w:ind w:firstLine="533" w:firstLineChars="199"/>
        <w:rPr>
          <w:rFonts w:ascii="宋体" w:hAnsi="宋体" w:eastAsia="宋体" w:cs="宋体"/>
          <w:spacing w:val="14"/>
          <w:sz w:val="24"/>
          <w:szCs w:val="24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NumType w:start="1"/>
          <w:cols w:space="425" w:num="1"/>
          <w:docGrid w:type="lines" w:linePitch="312" w:charSpace="0"/>
        </w:sectPr>
      </w:pPr>
      <w:r>
        <w:rPr>
          <w:rFonts w:hint="eastAsia" w:ascii="宋体" w:hAnsi="宋体" w:eastAsia="宋体" w:cs="宋体"/>
          <w:spacing w:val="14"/>
          <w:sz w:val="24"/>
          <w:szCs w:val="24"/>
        </w:rPr>
        <w:t>2、供应商对所报相关内容的真实性负责，采购代理机构有权将相关内容进行公示，因弄虚作假导致的后果由供应商自行承担。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39" name="文本框 13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3qzJgtAgAAWQQAAA4AAABkcnMvZTJvRG9jLnhtbK1UzY7TMBC+I/EO&#10;lu80aVesSt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